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5221E">
        <w:rPr>
          <w:rFonts w:ascii="Times New Roman" w:eastAsia="Times New Roman" w:hAnsi="Times New Roman" w:cs="Times New Roman"/>
          <w:b/>
          <w:lang w:eastAsia="it-IT"/>
        </w:rPr>
        <w:t xml:space="preserve">INDICATORE PAGAMENTI </w:t>
      </w:r>
      <w:r w:rsidR="003C5670">
        <w:rPr>
          <w:rFonts w:ascii="Times New Roman" w:eastAsia="Times New Roman" w:hAnsi="Times New Roman" w:cs="Times New Roman"/>
          <w:b/>
          <w:lang w:eastAsia="it-IT"/>
        </w:rPr>
        <w:t xml:space="preserve">PRIMO TRIMESTRE </w:t>
      </w:r>
      <w:r w:rsidR="003E2F23">
        <w:rPr>
          <w:rFonts w:ascii="Times New Roman" w:eastAsia="Times New Roman" w:hAnsi="Times New Roman" w:cs="Times New Roman"/>
          <w:b/>
          <w:lang w:eastAsia="it-IT"/>
        </w:rPr>
        <w:t>201</w:t>
      </w:r>
      <w:r w:rsidR="00103940">
        <w:rPr>
          <w:rFonts w:ascii="Times New Roman" w:eastAsia="Times New Roman" w:hAnsi="Times New Roman" w:cs="Times New Roman"/>
          <w:b/>
          <w:lang w:eastAsia="it-IT"/>
        </w:rPr>
        <w:t>9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01/01/201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  <w:r>
        <w:rPr>
          <w:rFonts w:ascii="Times New Roman" w:eastAsia="Times New Roman" w:hAnsi="Times New Roman" w:cs="Times New Roman"/>
          <w:lang w:eastAsia="it-IT"/>
        </w:rPr>
        <w:t xml:space="preserve"> – 31/</w:t>
      </w:r>
      <w:r w:rsidR="003C5670">
        <w:rPr>
          <w:rFonts w:ascii="Times New Roman" w:eastAsia="Times New Roman" w:hAnsi="Times New Roman" w:cs="Times New Roman"/>
          <w:lang w:eastAsia="it-IT"/>
        </w:rPr>
        <w:t>03</w:t>
      </w:r>
      <w:r w:rsidR="003E2F23">
        <w:rPr>
          <w:rFonts w:ascii="Times New Roman" w:eastAsia="Times New Roman" w:hAnsi="Times New Roman" w:cs="Times New Roman"/>
          <w:lang w:eastAsia="it-IT"/>
        </w:rPr>
        <w:t>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Dpcm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, pubblicato nella Gazzetta Ufficiale 14/11/2014, n. 265 consente alle Pa di dare attuazione all’obbligo di pubblicazione dell’indicatore di tempestività dei pagamenti previsto dall’articolo 33, comma 1 del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 33/13, così come modificato dal Dl 66/14. La norma citata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prevede: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la pubblicazione, con cadenza annuale, di un indicatore dei propri tempi medi di pagamento relativi agli acquisti di beni, servizi e forniture, denominato “indicatore annuale di tempestività dei pagamenti”;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 a decorrere dall’anno 2015, con cadenza trimestrale, la pubblicazione di un indicatore avente il medesimo oggetto e denominato “indicatore trimestrale di tempestività dei pagamenti”.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b/>
          <w:bCs/>
          <w:lang w:eastAsia="it-IT"/>
        </w:rPr>
        <w:t>Art. 33 del decreto legislativo 33/2013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L’art. 33 del D.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. 33/2013 afferma: “Le pubbliche amministrazioni pubblicano, con cadenza annuale, un indicatore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dei  propri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tempi medi di pagamento relativi agli acquisti di bene, servizi e forniture, denominato: indicatore di tempestività di pagamento.”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Il DPCM 22/9/2014 “Definizione degli schemi e delle modalità per la pubblicazione su internet dei dati relativi alle entrate e alla spesa dei bilanci preventivi e consuntivi e dell’indicatore annuale di tempestività dei pagamenti delle pubbliche amministrazioni” registrato in G.U. n. 265 del 14/11/2014 stabilisce all’art. 9 commi da 3 a 5 le modalità di calcolo dell’indicatore. In particolare: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L’indicatore di tempestività dei pagamenti […] è calcolato come la somma, per ciascuna fattura emessa a titolo corrispettivo di una transazione commerciale, dei giorni effettivi intercorrenti tra la data di scadenza della fattura o richiesta equivalente di pagamento e la data di pagamento ai fornitori moltiplicata per l’importo dovuto, rapportata alla somma degli importi nel periodo di riferimento.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Sono esclusi nel periodo di calcolo i periodi in cui la somma era inesigibile essendo la richiesta di pagamento oggetto di contestazione o contenzioso.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5221E" w:rsidTr="0095221E">
        <w:tc>
          <w:tcPr>
            <w:tcW w:w="5040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Modalità di calcolo</w:t>
            </w:r>
          </w:p>
        </w:tc>
        <w:tc>
          <w:tcPr>
            <w:tcW w:w="5041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Indicatore</w:t>
            </w:r>
          </w:p>
        </w:tc>
      </w:tr>
      <w:tr w:rsidR="0095221E" w:rsidTr="0095221E">
        <w:tc>
          <w:tcPr>
            <w:tcW w:w="5040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Giorni effettivi intercorrenti tra la data di scadenza della fattura e la data di pagamento moltiplicata per l’importo dovuto, rapportata alla somma degli importi pagati nel periodo di riferimento</w:t>
            </w:r>
          </w:p>
        </w:tc>
        <w:tc>
          <w:tcPr>
            <w:tcW w:w="5041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5221E" w:rsidRPr="00A32CE5" w:rsidRDefault="00A76ABF" w:rsidP="003C5670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2</w:t>
            </w:r>
            <w:r w:rsidR="003C56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,</w:t>
            </w:r>
            <w:r w:rsidR="003C56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88</w:t>
            </w:r>
            <w:bookmarkStart w:id="0" w:name="_GoBack"/>
            <w:bookmarkEnd w:id="0"/>
          </w:p>
        </w:tc>
      </w:tr>
    </w:tbl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* Il segno meno indica che le fatture sono state pagate prima della scadenza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La pubblicazione dell’indicatore avviene ai sensi dell’art. 10 c.1 e c. 3 del DPCM 22/9/2014.</w:t>
      </w:r>
    </w:p>
    <w:p w:rsidR="006A0614" w:rsidRPr="00C04589" w:rsidRDefault="006A0614" w:rsidP="00C04589"/>
    <w:sectPr w:rsidR="006A0614" w:rsidRPr="00C04589" w:rsidSect="00067D4C">
      <w:type w:val="continuous"/>
      <w:pgSz w:w="11920" w:h="16840" w:code="9"/>
      <w:pgMar w:top="1582" w:right="981" w:bottom="278" w:left="99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E41"/>
    <w:multiLevelType w:val="multilevel"/>
    <w:tmpl w:val="90AE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51270"/>
    <w:multiLevelType w:val="hybridMultilevel"/>
    <w:tmpl w:val="F5C87F52"/>
    <w:lvl w:ilvl="0" w:tplc="CA72E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77866"/>
    <w:rsid w:val="00067D4C"/>
    <w:rsid w:val="000A33D3"/>
    <w:rsid w:val="00103940"/>
    <w:rsid w:val="00155631"/>
    <w:rsid w:val="00377866"/>
    <w:rsid w:val="003B3CCC"/>
    <w:rsid w:val="003C5670"/>
    <w:rsid w:val="003E2F23"/>
    <w:rsid w:val="006A0614"/>
    <w:rsid w:val="00854FD5"/>
    <w:rsid w:val="0095221E"/>
    <w:rsid w:val="00954ED2"/>
    <w:rsid w:val="00A32CE5"/>
    <w:rsid w:val="00A76ABF"/>
    <w:rsid w:val="00A96173"/>
    <w:rsid w:val="00B953C1"/>
    <w:rsid w:val="00C04589"/>
    <w:rsid w:val="00CF4587"/>
    <w:rsid w:val="00DC3CBB"/>
    <w:rsid w:val="00E02EE3"/>
    <w:rsid w:val="00E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08D9-4EC1-4F2D-AF35-31902D0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786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77866"/>
    <w:rPr>
      <w:color w:val="0000FF"/>
      <w:u w:val="single"/>
    </w:rPr>
  </w:style>
  <w:style w:type="character" w:customStyle="1" w:styleId="fs16">
    <w:name w:val="fs16"/>
    <w:basedOn w:val="Carpredefinitoparagrafo"/>
    <w:rsid w:val="0095221E"/>
  </w:style>
  <w:style w:type="character" w:customStyle="1" w:styleId="fs20">
    <w:name w:val="fs20"/>
    <w:basedOn w:val="Carpredefinitoparagrafo"/>
    <w:rsid w:val="0095221E"/>
  </w:style>
  <w:style w:type="table" w:styleId="Grigliatabella">
    <w:name w:val="Table Grid"/>
    <w:basedOn w:val="Tabellanormale"/>
    <w:uiPriority w:val="59"/>
    <w:rsid w:val="009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Hp</cp:lastModifiedBy>
  <cp:revision>14</cp:revision>
  <dcterms:created xsi:type="dcterms:W3CDTF">2015-05-18T06:24:00Z</dcterms:created>
  <dcterms:modified xsi:type="dcterms:W3CDTF">2020-01-28T08:21:00Z</dcterms:modified>
</cp:coreProperties>
</file>